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81CA" w14:textId="690315C8" w:rsidR="003310E9" w:rsidRDefault="003310E9">
      <w:pPr>
        <w:ind w:hanging="435"/>
        <w:rPr>
          <w:b/>
          <w:sz w:val="24"/>
          <w:szCs w:val="24"/>
        </w:rPr>
      </w:pPr>
    </w:p>
    <w:p w14:paraId="1B9508DC" w14:textId="691523B2" w:rsidR="003310E9" w:rsidRDefault="006D7F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7D87329" w14:textId="6E19B54B" w:rsidR="000C66EE" w:rsidRPr="0075522A" w:rsidRDefault="00DE4FC0" w:rsidP="000C66EE">
      <w:pPr>
        <w:ind w:hanging="435"/>
        <w:rPr>
          <w:b/>
        </w:rPr>
      </w:pPr>
      <w:r w:rsidRPr="0075522A">
        <w:rPr>
          <w:noProof/>
        </w:rPr>
        <w:drawing>
          <wp:anchor distT="114300" distB="114300" distL="114300" distR="114300" simplePos="0" relativeHeight="251663360" behindDoc="0" locked="0" layoutInCell="1" allowOverlap="1" wp14:anchorId="78D4694C" wp14:editId="7680E2AF">
            <wp:simplePos x="0" y="0"/>
            <wp:positionH relativeFrom="margin">
              <wp:posOffset>-635</wp:posOffset>
            </wp:positionH>
            <wp:positionV relativeFrom="paragraph">
              <wp:posOffset>168275</wp:posOffset>
            </wp:positionV>
            <wp:extent cx="1379855" cy="1329690"/>
            <wp:effectExtent l="0" t="0" r="0" b="3810"/>
            <wp:wrapSquare wrapText="bothSides"/>
            <wp:docPr id="1" name="Picture 1" descr="Logo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32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B0BFE" w14:textId="2ECF9F29" w:rsidR="005959B6" w:rsidRPr="00DE4FC0" w:rsidRDefault="005959B6" w:rsidP="000C66EE">
      <w:pPr>
        <w:ind w:hanging="435"/>
        <w:rPr>
          <w:bCs/>
        </w:rPr>
      </w:pPr>
    </w:p>
    <w:p w14:paraId="15C6AAC3" w14:textId="160C7A43" w:rsidR="000C66EE" w:rsidRPr="002B17D2" w:rsidRDefault="000C66EE" w:rsidP="000C66EE">
      <w:pPr>
        <w:ind w:hanging="435"/>
        <w:rPr>
          <w:b/>
        </w:rPr>
      </w:pPr>
      <w:r w:rsidRPr="002B17D2">
        <w:rPr>
          <w:b/>
        </w:rPr>
        <w:t xml:space="preserve">For Immediate Release                   </w:t>
      </w:r>
    </w:p>
    <w:p w14:paraId="0191BD88" w14:textId="77777777" w:rsidR="000C66EE" w:rsidRPr="002B17D2" w:rsidRDefault="000C66EE" w:rsidP="000C66EE">
      <w:pPr>
        <w:rPr>
          <w:b/>
        </w:rPr>
      </w:pPr>
      <w:r w:rsidRPr="002B17D2">
        <w:rPr>
          <w:b/>
        </w:rPr>
        <w:t>Justice and Unity in the Southern Tier (JUST)</w:t>
      </w:r>
    </w:p>
    <w:p w14:paraId="4F20B0D8" w14:textId="48A1E35D" w:rsidR="000C66EE" w:rsidRPr="002B17D2" w:rsidRDefault="00907B41" w:rsidP="000C66EE">
      <w:pPr>
        <w:rPr>
          <w:b/>
        </w:rPr>
      </w:pPr>
      <w:r w:rsidRPr="002B17D2">
        <w:rPr>
          <w:b/>
        </w:rPr>
        <w:t>August 24, 2023</w:t>
      </w:r>
    </w:p>
    <w:p w14:paraId="342D2F47" w14:textId="48E55F6C" w:rsidR="000C66EE" w:rsidRPr="002B17D2" w:rsidRDefault="000C66EE" w:rsidP="000C66EE">
      <w:pPr>
        <w:rPr>
          <w:b/>
        </w:rPr>
      </w:pPr>
      <w:r w:rsidRPr="002B17D2">
        <w:rPr>
          <w:b/>
        </w:rPr>
        <w:t>Contacts: Andrew Pragacz, 651-747-6316</w:t>
      </w:r>
      <w:r w:rsidR="002B17D2" w:rsidRPr="002B17D2">
        <w:rPr>
          <w:b/>
        </w:rPr>
        <w:t>, Rozann Greco 607-348-3868</w:t>
      </w:r>
    </w:p>
    <w:p w14:paraId="447B8FCF" w14:textId="753DF56E" w:rsidR="000C66EE" w:rsidRPr="0075522A" w:rsidRDefault="000C66EE" w:rsidP="000C66EE">
      <w:pPr>
        <w:rPr>
          <w:b/>
        </w:rPr>
      </w:pPr>
      <w:r w:rsidRPr="002B17D2">
        <w:rPr>
          <w:b/>
        </w:rPr>
        <w:t>Emails:</w:t>
      </w:r>
      <w:r w:rsidRPr="002B17D2">
        <w:rPr>
          <w:b/>
          <w:color w:val="548DD4" w:themeColor="text2" w:themeTint="99"/>
        </w:rPr>
        <w:t xml:space="preserve"> </w:t>
      </w:r>
      <w:hyperlink r:id="rId7" w:history="1">
        <w:r w:rsidRPr="002B17D2">
          <w:rPr>
            <w:rStyle w:val="Hyperlink"/>
            <w:b/>
            <w:color w:val="548DD4" w:themeColor="text2" w:themeTint="99"/>
          </w:rPr>
          <w:t>ajrpragacz@gmail.com</w:t>
        </w:r>
      </w:hyperlink>
      <w:r w:rsidRPr="002B17D2">
        <w:rPr>
          <w:b/>
          <w:color w:val="548DD4" w:themeColor="text2" w:themeTint="99"/>
        </w:rPr>
        <w:t>,</w:t>
      </w:r>
      <w:r w:rsidR="00F52446" w:rsidRPr="002B17D2">
        <w:rPr>
          <w:b/>
          <w:color w:val="548DD4" w:themeColor="text2" w:themeTint="99"/>
        </w:rPr>
        <w:t xml:space="preserve"> </w:t>
      </w:r>
      <w:hyperlink r:id="rId8" w:history="1">
        <w:r w:rsidR="002B17D2" w:rsidRPr="006F28C5">
          <w:rPr>
            <w:rStyle w:val="Hyperlink"/>
            <w:b/>
            <w:color w:val="6666FF" w:themeColor="hyperlink" w:themeTint="99"/>
          </w:rPr>
          <w:t>rozanngreco@gmail.com</w:t>
        </w:r>
      </w:hyperlink>
      <w:r w:rsidR="002B17D2" w:rsidRPr="002B17D2">
        <w:rPr>
          <w:b/>
          <w:color w:val="548DD4" w:themeColor="text2" w:themeTint="99"/>
        </w:rPr>
        <w:t xml:space="preserve"> </w:t>
      </w:r>
    </w:p>
    <w:p w14:paraId="68A485DD" w14:textId="458DDA26" w:rsidR="003310E9" w:rsidRPr="0075522A" w:rsidRDefault="003310E9" w:rsidP="00673C72">
      <w:pPr>
        <w:rPr>
          <w:b/>
        </w:rPr>
      </w:pPr>
    </w:p>
    <w:p w14:paraId="6DF6AAAF" w14:textId="77777777" w:rsidR="000C66EE" w:rsidRPr="0075522A" w:rsidRDefault="000C66EE" w:rsidP="00673C72">
      <w:pPr>
        <w:rPr>
          <w:b/>
        </w:rPr>
      </w:pPr>
    </w:p>
    <w:p w14:paraId="3643C5BB" w14:textId="181C1421" w:rsidR="00673C72" w:rsidRPr="0075522A" w:rsidRDefault="00673C72" w:rsidP="00907B41">
      <w:pPr>
        <w:rPr>
          <w:b/>
        </w:rPr>
      </w:pPr>
    </w:p>
    <w:p w14:paraId="1CF46113" w14:textId="7E41B835" w:rsidR="00667BEB" w:rsidRPr="002B17D2" w:rsidRDefault="00402A3B" w:rsidP="00402A3B">
      <w:pPr>
        <w:jc w:val="center"/>
        <w:rPr>
          <w:b/>
          <w:bCs/>
          <w:sz w:val="24"/>
          <w:szCs w:val="24"/>
        </w:rPr>
      </w:pPr>
      <w:r w:rsidRPr="002B17D2">
        <w:rPr>
          <w:b/>
          <w:bCs/>
          <w:sz w:val="24"/>
          <w:szCs w:val="24"/>
        </w:rPr>
        <w:t xml:space="preserve">Celebrate </w:t>
      </w:r>
      <w:proofErr w:type="spellStart"/>
      <w:r w:rsidRPr="002B17D2">
        <w:rPr>
          <w:b/>
          <w:bCs/>
          <w:sz w:val="24"/>
          <w:szCs w:val="24"/>
        </w:rPr>
        <w:t>Makyyla</w:t>
      </w:r>
      <w:proofErr w:type="spellEnd"/>
      <w:r w:rsidRPr="002B17D2">
        <w:rPr>
          <w:b/>
          <w:bCs/>
          <w:sz w:val="24"/>
          <w:szCs w:val="24"/>
        </w:rPr>
        <w:t xml:space="preserve"> Holland and NYCLU win against the Broome County Jail</w:t>
      </w:r>
    </w:p>
    <w:p w14:paraId="5FFD8A1D" w14:textId="77777777" w:rsidR="00402A3B" w:rsidRDefault="00402A3B" w:rsidP="00402A3B">
      <w:pPr>
        <w:jc w:val="center"/>
      </w:pPr>
    </w:p>
    <w:p w14:paraId="1C17FBF2" w14:textId="30D87985" w:rsidR="005959B6" w:rsidRPr="005959B6" w:rsidRDefault="00402A3B">
      <w:pPr>
        <w:rPr>
          <w:sz w:val="24"/>
          <w:szCs w:val="24"/>
        </w:rPr>
      </w:pPr>
      <w:r w:rsidRPr="005959B6">
        <w:rPr>
          <w:sz w:val="24"/>
          <w:szCs w:val="24"/>
        </w:rPr>
        <w:t>Today we celebrate the stunning</w:t>
      </w:r>
      <w:r w:rsidR="005959B6">
        <w:rPr>
          <w:sz w:val="24"/>
          <w:szCs w:val="24"/>
        </w:rPr>
        <w:t>,</w:t>
      </w:r>
      <w:r w:rsidR="005959B6" w:rsidRPr="005959B6">
        <w:rPr>
          <w:sz w:val="24"/>
          <w:szCs w:val="24"/>
        </w:rPr>
        <w:t xml:space="preserve"> transgender rights </w:t>
      </w:r>
      <w:r w:rsidRPr="005959B6">
        <w:rPr>
          <w:sz w:val="24"/>
          <w:szCs w:val="24"/>
        </w:rPr>
        <w:t xml:space="preserve">victory of courageous </w:t>
      </w:r>
      <w:proofErr w:type="spellStart"/>
      <w:r w:rsidRPr="005959B6">
        <w:rPr>
          <w:sz w:val="24"/>
          <w:szCs w:val="24"/>
        </w:rPr>
        <w:t>Makyyla</w:t>
      </w:r>
      <w:proofErr w:type="spellEnd"/>
      <w:r w:rsidRPr="005959B6">
        <w:rPr>
          <w:sz w:val="24"/>
          <w:szCs w:val="24"/>
        </w:rPr>
        <w:t xml:space="preserve"> Holland and the NYCLU in their lawsuit against Broome County, the Sheriff, </w:t>
      </w:r>
      <w:r w:rsidR="005959B6" w:rsidRPr="005959B6">
        <w:rPr>
          <w:sz w:val="24"/>
          <w:szCs w:val="24"/>
        </w:rPr>
        <w:t>Undersheriff</w:t>
      </w:r>
      <w:r w:rsidRPr="005959B6">
        <w:rPr>
          <w:sz w:val="24"/>
          <w:szCs w:val="24"/>
        </w:rPr>
        <w:t xml:space="preserve">, </w:t>
      </w:r>
      <w:r w:rsidR="00B14FB5" w:rsidRPr="005959B6">
        <w:rPr>
          <w:sz w:val="24"/>
          <w:szCs w:val="24"/>
        </w:rPr>
        <w:t>officers,</w:t>
      </w:r>
      <w:r w:rsidRPr="005959B6">
        <w:rPr>
          <w:sz w:val="24"/>
          <w:szCs w:val="24"/>
        </w:rPr>
        <w:t xml:space="preserve"> and medical staff.  </w:t>
      </w:r>
    </w:p>
    <w:p w14:paraId="49733356" w14:textId="77777777" w:rsidR="005959B6" w:rsidRPr="005959B6" w:rsidRDefault="005959B6">
      <w:pPr>
        <w:rPr>
          <w:sz w:val="24"/>
          <w:szCs w:val="24"/>
        </w:rPr>
      </w:pPr>
    </w:p>
    <w:p w14:paraId="195016E2" w14:textId="556CFE22" w:rsidR="00402A3B" w:rsidRPr="005959B6" w:rsidRDefault="00402A3B">
      <w:pPr>
        <w:rPr>
          <w:sz w:val="24"/>
          <w:szCs w:val="24"/>
        </w:rPr>
      </w:pPr>
      <w:r w:rsidRPr="005959B6">
        <w:rPr>
          <w:sz w:val="24"/>
          <w:szCs w:val="24"/>
        </w:rPr>
        <w:t xml:space="preserve">Under the settlement Broome County commits publicly to prevent further discrimination and violence against transgender, bisexual, gay, intersex, </w:t>
      </w:r>
      <w:r w:rsidR="00B40549">
        <w:rPr>
          <w:sz w:val="24"/>
          <w:szCs w:val="24"/>
        </w:rPr>
        <w:t xml:space="preserve">and </w:t>
      </w:r>
      <w:r w:rsidRPr="005959B6">
        <w:rPr>
          <w:sz w:val="24"/>
          <w:szCs w:val="24"/>
        </w:rPr>
        <w:t>lesbian people in the County jail.  As NYCLU detail</w:t>
      </w:r>
      <w:r w:rsidR="005959B6" w:rsidRPr="005959B6">
        <w:rPr>
          <w:sz w:val="24"/>
          <w:szCs w:val="24"/>
        </w:rPr>
        <w:t xml:space="preserve">s in their press release </w:t>
      </w:r>
      <w:hyperlink r:id="rId9" w:history="1">
        <w:r w:rsidR="005959B6" w:rsidRPr="005959B6">
          <w:rPr>
            <w:rStyle w:val="Hyperlink"/>
            <w:sz w:val="24"/>
            <w:szCs w:val="24"/>
          </w:rPr>
          <w:t>here</w:t>
        </w:r>
      </w:hyperlink>
      <w:r w:rsidR="005959B6" w:rsidRPr="005959B6">
        <w:rPr>
          <w:sz w:val="24"/>
          <w:szCs w:val="24"/>
        </w:rPr>
        <w:t xml:space="preserve">, </w:t>
      </w:r>
      <w:r w:rsidRPr="005959B6">
        <w:rPr>
          <w:sz w:val="24"/>
          <w:szCs w:val="24"/>
        </w:rPr>
        <w:t xml:space="preserve">the County </w:t>
      </w:r>
      <w:r w:rsidR="005959B6" w:rsidRPr="005959B6">
        <w:rPr>
          <w:sz w:val="24"/>
          <w:szCs w:val="24"/>
        </w:rPr>
        <w:t>specifically</w:t>
      </w:r>
      <w:r w:rsidRPr="005959B6">
        <w:rPr>
          <w:sz w:val="24"/>
          <w:szCs w:val="24"/>
        </w:rPr>
        <w:t xml:space="preserve"> </w:t>
      </w:r>
      <w:r w:rsidR="00E02CBD" w:rsidRPr="005959B6">
        <w:rPr>
          <w:sz w:val="24"/>
          <w:szCs w:val="24"/>
        </w:rPr>
        <w:t>commits</w:t>
      </w:r>
      <w:r w:rsidRPr="005959B6">
        <w:rPr>
          <w:sz w:val="24"/>
          <w:szCs w:val="24"/>
        </w:rPr>
        <w:t xml:space="preserve"> to: </w:t>
      </w:r>
    </w:p>
    <w:p w14:paraId="2419C25C" w14:textId="77777777" w:rsidR="00402A3B" w:rsidRPr="005959B6" w:rsidRDefault="00402A3B" w:rsidP="00402A3B">
      <w:pPr>
        <w:numPr>
          <w:ilvl w:val="0"/>
          <w:numId w:val="2"/>
        </w:numPr>
        <w:spacing w:line="240" w:lineRule="auto"/>
        <w:rPr>
          <w:rFonts w:eastAsia="Times New Roman"/>
          <w:sz w:val="24"/>
          <w:szCs w:val="24"/>
        </w:rPr>
      </w:pPr>
      <w:r w:rsidRPr="005959B6">
        <w:rPr>
          <w:rFonts w:eastAsia="Times New Roman"/>
          <w:sz w:val="24"/>
          <w:szCs w:val="24"/>
        </w:rPr>
        <w:t>House people consistent with their gender identity or within the unit consistent with the sex designation the person in custody believes is safest for them, with limited exceptions.</w:t>
      </w:r>
    </w:p>
    <w:p w14:paraId="0B420836" w14:textId="77777777" w:rsidR="00402A3B" w:rsidRPr="005959B6" w:rsidRDefault="00402A3B" w:rsidP="00402A3B">
      <w:pPr>
        <w:numPr>
          <w:ilvl w:val="0"/>
          <w:numId w:val="2"/>
        </w:numPr>
        <w:spacing w:line="240" w:lineRule="auto"/>
        <w:rPr>
          <w:rFonts w:eastAsia="Times New Roman"/>
          <w:sz w:val="24"/>
          <w:szCs w:val="24"/>
        </w:rPr>
      </w:pPr>
      <w:r w:rsidRPr="005959B6">
        <w:rPr>
          <w:rFonts w:eastAsia="Times New Roman"/>
          <w:sz w:val="24"/>
          <w:szCs w:val="24"/>
        </w:rPr>
        <w:t>Conduct searches consistent with the person in custody’s own view of what gender officer would be safest to perform the search, with limited exceptions.</w:t>
      </w:r>
    </w:p>
    <w:p w14:paraId="7F41A959" w14:textId="77777777" w:rsidR="00402A3B" w:rsidRPr="005959B6" w:rsidRDefault="00402A3B" w:rsidP="00402A3B">
      <w:pPr>
        <w:numPr>
          <w:ilvl w:val="0"/>
          <w:numId w:val="2"/>
        </w:numPr>
        <w:spacing w:line="240" w:lineRule="auto"/>
        <w:rPr>
          <w:rFonts w:eastAsia="Times New Roman"/>
          <w:sz w:val="24"/>
          <w:szCs w:val="24"/>
        </w:rPr>
      </w:pPr>
      <w:r w:rsidRPr="005959B6">
        <w:rPr>
          <w:rFonts w:eastAsia="Times New Roman"/>
          <w:sz w:val="24"/>
          <w:szCs w:val="24"/>
        </w:rPr>
        <w:t>Ensure that staff at the jail respect a person’s gender identity in all other contexts, including name and pronoun use.</w:t>
      </w:r>
    </w:p>
    <w:p w14:paraId="150AC235" w14:textId="77777777" w:rsidR="00402A3B" w:rsidRPr="005959B6" w:rsidRDefault="00402A3B" w:rsidP="00402A3B">
      <w:pPr>
        <w:numPr>
          <w:ilvl w:val="0"/>
          <w:numId w:val="2"/>
        </w:numPr>
        <w:spacing w:line="240" w:lineRule="auto"/>
        <w:rPr>
          <w:rFonts w:eastAsia="Times New Roman"/>
          <w:sz w:val="24"/>
          <w:szCs w:val="24"/>
        </w:rPr>
      </w:pPr>
      <w:r w:rsidRPr="005959B6">
        <w:rPr>
          <w:rFonts w:eastAsia="Times New Roman"/>
          <w:sz w:val="24"/>
          <w:szCs w:val="24"/>
        </w:rPr>
        <w:t xml:space="preserve">Ensure access to clothing and toiletry items consistent with a person’s gender </w:t>
      </w:r>
      <w:proofErr w:type="gramStart"/>
      <w:r w:rsidRPr="005959B6">
        <w:rPr>
          <w:rFonts w:eastAsia="Times New Roman"/>
          <w:sz w:val="24"/>
          <w:szCs w:val="24"/>
        </w:rPr>
        <w:t>identity, and</w:t>
      </w:r>
      <w:proofErr w:type="gramEnd"/>
      <w:r w:rsidRPr="005959B6">
        <w:rPr>
          <w:rFonts w:eastAsia="Times New Roman"/>
          <w:sz w:val="24"/>
          <w:szCs w:val="24"/>
        </w:rPr>
        <w:t xml:space="preserve"> facilitate access to gender-affirming items such as binders, wigs, and gaffs.</w:t>
      </w:r>
    </w:p>
    <w:p w14:paraId="0DE6F66D" w14:textId="77777777" w:rsidR="00402A3B" w:rsidRPr="005959B6" w:rsidRDefault="00402A3B" w:rsidP="00402A3B">
      <w:pPr>
        <w:numPr>
          <w:ilvl w:val="0"/>
          <w:numId w:val="2"/>
        </w:numPr>
        <w:spacing w:line="240" w:lineRule="auto"/>
        <w:rPr>
          <w:rFonts w:eastAsia="Times New Roman"/>
          <w:sz w:val="24"/>
          <w:szCs w:val="24"/>
        </w:rPr>
      </w:pPr>
      <w:r w:rsidRPr="005959B6">
        <w:rPr>
          <w:rFonts w:eastAsia="Times New Roman"/>
          <w:sz w:val="24"/>
          <w:szCs w:val="24"/>
        </w:rPr>
        <w:t xml:space="preserve">Ensure access to medical </w:t>
      </w:r>
      <w:proofErr w:type="gramStart"/>
      <w:r w:rsidRPr="005959B6">
        <w:rPr>
          <w:rFonts w:eastAsia="Times New Roman"/>
          <w:sz w:val="24"/>
          <w:szCs w:val="24"/>
        </w:rPr>
        <w:t>care free</w:t>
      </w:r>
      <w:proofErr w:type="gramEnd"/>
      <w:r w:rsidRPr="005959B6">
        <w:rPr>
          <w:rFonts w:eastAsia="Times New Roman"/>
          <w:sz w:val="24"/>
          <w:szCs w:val="24"/>
        </w:rPr>
        <w:t xml:space="preserve"> from discrimination on the basis of sex, gender identity, gender expression, or sexual orientation, including access to medical care for treatment of gender dysphoria.</w:t>
      </w:r>
    </w:p>
    <w:p w14:paraId="735ADC51" w14:textId="3C6871EA" w:rsidR="00622D54" w:rsidRPr="005959B6" w:rsidRDefault="00402A3B" w:rsidP="00402A3B">
      <w:pPr>
        <w:numPr>
          <w:ilvl w:val="0"/>
          <w:numId w:val="2"/>
        </w:numPr>
        <w:spacing w:line="240" w:lineRule="auto"/>
        <w:rPr>
          <w:rFonts w:eastAsia="Times New Roman"/>
          <w:sz w:val="24"/>
          <w:szCs w:val="24"/>
        </w:rPr>
      </w:pPr>
      <w:r w:rsidRPr="005959B6">
        <w:rPr>
          <w:rFonts w:eastAsia="Times New Roman"/>
          <w:sz w:val="24"/>
          <w:szCs w:val="24"/>
        </w:rPr>
        <w:t xml:space="preserve">Compensate Ms. Holland for </w:t>
      </w:r>
      <w:proofErr w:type="gramStart"/>
      <w:r w:rsidRPr="005959B6">
        <w:rPr>
          <w:rFonts w:eastAsia="Times New Roman"/>
          <w:sz w:val="24"/>
          <w:szCs w:val="24"/>
        </w:rPr>
        <w:t>harms</w:t>
      </w:r>
      <w:proofErr w:type="gramEnd"/>
      <w:r w:rsidRPr="005959B6">
        <w:rPr>
          <w:rFonts w:eastAsia="Times New Roman"/>
          <w:sz w:val="24"/>
          <w:szCs w:val="24"/>
        </w:rPr>
        <w:t xml:space="preserve"> she suffered, in the amount of $160,000.</w:t>
      </w:r>
      <w:r w:rsidR="0075522A" w:rsidRPr="005959B6">
        <w:rPr>
          <w:sz w:val="24"/>
          <w:szCs w:val="24"/>
        </w:rPr>
        <w:t xml:space="preserve"> </w:t>
      </w:r>
    </w:p>
    <w:p w14:paraId="67051E27" w14:textId="365266FA" w:rsidR="005959B6" w:rsidRPr="005959B6" w:rsidRDefault="005959B6" w:rsidP="005959B6">
      <w:pPr>
        <w:spacing w:line="240" w:lineRule="auto"/>
        <w:rPr>
          <w:rFonts w:eastAsia="Times New Roman"/>
          <w:sz w:val="24"/>
          <w:szCs w:val="24"/>
        </w:rPr>
      </w:pPr>
      <w:r w:rsidRPr="005959B6">
        <w:rPr>
          <w:sz w:val="24"/>
          <w:szCs w:val="24"/>
        </w:rPr>
        <w:t xml:space="preserve">The full settlement is </w:t>
      </w:r>
      <w:hyperlink r:id="rId10" w:history="1">
        <w:r w:rsidRPr="005959B6">
          <w:rPr>
            <w:rStyle w:val="Hyperlink"/>
            <w:sz w:val="24"/>
            <w:szCs w:val="24"/>
          </w:rPr>
          <w:t>here</w:t>
        </w:r>
      </w:hyperlink>
      <w:r w:rsidRPr="005959B6">
        <w:rPr>
          <w:sz w:val="24"/>
          <w:szCs w:val="24"/>
        </w:rPr>
        <w:t>.</w:t>
      </w:r>
    </w:p>
    <w:p w14:paraId="3DD57F55" w14:textId="77777777" w:rsidR="00402A3B" w:rsidRPr="005959B6" w:rsidRDefault="00402A3B" w:rsidP="00402A3B">
      <w:pPr>
        <w:spacing w:line="240" w:lineRule="auto"/>
        <w:rPr>
          <w:sz w:val="24"/>
          <w:szCs w:val="24"/>
        </w:rPr>
      </w:pPr>
    </w:p>
    <w:p w14:paraId="2952B997" w14:textId="02B0F61A" w:rsidR="005959B6" w:rsidRPr="005959B6" w:rsidRDefault="00402A3B" w:rsidP="005959B6">
      <w:pPr>
        <w:spacing w:line="240" w:lineRule="auto"/>
        <w:rPr>
          <w:sz w:val="24"/>
          <w:szCs w:val="24"/>
        </w:rPr>
      </w:pPr>
      <w:r w:rsidRPr="005959B6">
        <w:rPr>
          <w:sz w:val="24"/>
          <w:szCs w:val="24"/>
        </w:rPr>
        <w:t xml:space="preserve">This is a wonderful </w:t>
      </w:r>
      <w:r w:rsidR="00E02CBD" w:rsidRPr="005959B6">
        <w:rPr>
          <w:sz w:val="24"/>
          <w:szCs w:val="24"/>
        </w:rPr>
        <w:t>outcome,</w:t>
      </w:r>
      <w:r w:rsidRPr="005959B6">
        <w:rPr>
          <w:sz w:val="24"/>
          <w:szCs w:val="24"/>
        </w:rPr>
        <w:t xml:space="preserve"> and we look forward to observing its implementation at the County jail and other facilities.  </w:t>
      </w:r>
      <w:r w:rsidR="005959B6" w:rsidRPr="005959B6">
        <w:rPr>
          <w:sz w:val="24"/>
          <w:szCs w:val="24"/>
        </w:rPr>
        <w:t xml:space="preserve">NYCLU’s new toolkit for advocates to push local and state leaders to better protect transgender and nonbinary rights, based on this case, is now online </w:t>
      </w:r>
      <w:hyperlink r:id="rId11" w:history="1">
        <w:r w:rsidR="005959B6" w:rsidRPr="005959B6">
          <w:rPr>
            <w:rStyle w:val="Hyperlink"/>
            <w:sz w:val="24"/>
            <w:szCs w:val="24"/>
          </w:rPr>
          <w:t>here</w:t>
        </w:r>
      </w:hyperlink>
      <w:r w:rsidR="005959B6" w:rsidRPr="005959B6">
        <w:rPr>
          <w:sz w:val="24"/>
          <w:szCs w:val="24"/>
        </w:rPr>
        <w:t xml:space="preserve">. </w:t>
      </w:r>
    </w:p>
    <w:p w14:paraId="31FDD3A9" w14:textId="0AAC7B8D" w:rsidR="005959B6" w:rsidRPr="005959B6" w:rsidRDefault="005959B6" w:rsidP="00402A3B">
      <w:pPr>
        <w:spacing w:line="240" w:lineRule="auto"/>
        <w:rPr>
          <w:rFonts w:eastAsia="Times New Roman"/>
          <w:sz w:val="24"/>
          <w:szCs w:val="24"/>
        </w:rPr>
      </w:pPr>
    </w:p>
    <w:p w14:paraId="318CD8EB" w14:textId="77777777" w:rsidR="005959B6" w:rsidRPr="005959B6" w:rsidRDefault="005959B6">
      <w:pPr>
        <w:spacing w:line="240" w:lineRule="auto"/>
        <w:rPr>
          <w:rFonts w:eastAsia="Times New Roman"/>
          <w:sz w:val="24"/>
          <w:szCs w:val="24"/>
        </w:rPr>
      </w:pPr>
    </w:p>
    <w:sectPr w:rsidR="005959B6" w:rsidRPr="005959B6" w:rsidSect="00667BEB">
      <w:pgSz w:w="12240" w:h="15840"/>
      <w:pgMar w:top="360" w:right="720" w:bottom="36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A516D"/>
    <w:multiLevelType w:val="multilevel"/>
    <w:tmpl w:val="167E5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97016FC"/>
    <w:multiLevelType w:val="multilevel"/>
    <w:tmpl w:val="E260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474559">
    <w:abstractNumId w:val="0"/>
  </w:num>
  <w:num w:numId="2" w16cid:durableId="835878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E9"/>
    <w:rsid w:val="000B3D77"/>
    <w:rsid w:val="000C66EE"/>
    <w:rsid w:val="000E6574"/>
    <w:rsid w:val="001320CB"/>
    <w:rsid w:val="00144EA9"/>
    <w:rsid w:val="00160D07"/>
    <w:rsid w:val="0016399A"/>
    <w:rsid w:val="00176446"/>
    <w:rsid w:val="001C7CCF"/>
    <w:rsid w:val="002B17D2"/>
    <w:rsid w:val="002B6AB0"/>
    <w:rsid w:val="0031058F"/>
    <w:rsid w:val="003310E9"/>
    <w:rsid w:val="00336260"/>
    <w:rsid w:val="00346386"/>
    <w:rsid w:val="00352F06"/>
    <w:rsid w:val="003F2C0B"/>
    <w:rsid w:val="003F6B2F"/>
    <w:rsid w:val="00402A3B"/>
    <w:rsid w:val="00492EFE"/>
    <w:rsid w:val="004B6761"/>
    <w:rsid w:val="00521A4A"/>
    <w:rsid w:val="005959B6"/>
    <w:rsid w:val="00622D54"/>
    <w:rsid w:val="0062662D"/>
    <w:rsid w:val="00667BEB"/>
    <w:rsid w:val="00673C72"/>
    <w:rsid w:val="00696303"/>
    <w:rsid w:val="006D7F38"/>
    <w:rsid w:val="007266B6"/>
    <w:rsid w:val="007364ED"/>
    <w:rsid w:val="0075522A"/>
    <w:rsid w:val="007B39B6"/>
    <w:rsid w:val="007D4577"/>
    <w:rsid w:val="008629E4"/>
    <w:rsid w:val="008A6065"/>
    <w:rsid w:val="008D44F8"/>
    <w:rsid w:val="008E60D9"/>
    <w:rsid w:val="00907B41"/>
    <w:rsid w:val="009D54C5"/>
    <w:rsid w:val="009E7F90"/>
    <w:rsid w:val="00A01C8B"/>
    <w:rsid w:val="00A07432"/>
    <w:rsid w:val="00A341D1"/>
    <w:rsid w:val="00A54296"/>
    <w:rsid w:val="00A738E8"/>
    <w:rsid w:val="00A942EF"/>
    <w:rsid w:val="00AA03F5"/>
    <w:rsid w:val="00AB469D"/>
    <w:rsid w:val="00AC1E02"/>
    <w:rsid w:val="00AD1D02"/>
    <w:rsid w:val="00AD339D"/>
    <w:rsid w:val="00B14FB5"/>
    <w:rsid w:val="00B32009"/>
    <w:rsid w:val="00B32879"/>
    <w:rsid w:val="00B40549"/>
    <w:rsid w:val="00BC495F"/>
    <w:rsid w:val="00BE0A9E"/>
    <w:rsid w:val="00C43723"/>
    <w:rsid w:val="00C64EF1"/>
    <w:rsid w:val="00C76413"/>
    <w:rsid w:val="00D0512D"/>
    <w:rsid w:val="00D067A7"/>
    <w:rsid w:val="00D71960"/>
    <w:rsid w:val="00D75F02"/>
    <w:rsid w:val="00DA699E"/>
    <w:rsid w:val="00DB3D36"/>
    <w:rsid w:val="00DE4FC0"/>
    <w:rsid w:val="00DF354A"/>
    <w:rsid w:val="00E02CBD"/>
    <w:rsid w:val="00E940AC"/>
    <w:rsid w:val="00F52446"/>
    <w:rsid w:val="00F7200E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EE4EC"/>
  <w15:docId w15:val="{CC87BEA7-31EB-40B2-923E-F7D61BC4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542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2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F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anngrec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jrpragacz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nyclu.org/en/publications/toolkit-rights-trans-people-who-are-incarcerated" TargetMode="External"/><Relationship Id="rId5" Type="http://schemas.openxmlformats.org/officeDocument/2006/relationships/hyperlink" Target="http://www.justicest.com" TargetMode="External"/><Relationship Id="rId10" Type="http://schemas.openxmlformats.org/officeDocument/2006/relationships/hyperlink" Target="https://www.nyclu.org/sites/default/files/field_documents/holland_settlement_agree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yclu.org/en/press-releases/transgender-woman-reaches-landmark-settlement-broome-county-following-lawsuit-o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Martin</dc:creator>
  <cp:lastModifiedBy>Tinamarie Gunther</cp:lastModifiedBy>
  <cp:revision>2</cp:revision>
  <cp:lastPrinted>2022-09-29T11:48:00Z</cp:lastPrinted>
  <dcterms:created xsi:type="dcterms:W3CDTF">2023-08-25T14:07:00Z</dcterms:created>
  <dcterms:modified xsi:type="dcterms:W3CDTF">2023-08-25T14:07:00Z</dcterms:modified>
</cp:coreProperties>
</file>